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SNC1D7 - Vanishing of the Bees - Action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Honeybees are disappearing at alarming rates throughout North America, Europe and Australia. Honeybees are the main pollinators of agricultural crops and are vital to ensuring we have adequate food.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This is a real phenomenon called Colony Collapse Disorder (CCD). It is characterized by failure of the bees to return to the hive. This behaviour of honey bees is abnormal and scientists do not know the exact cause.  In class you have learned about CCD and the possible causes. Your task is to complete an “action” assignment regarding a cause of CCD and the effect on our ecosystem.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Your Task: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prepare a plan of action regarding ONE of the causes of colony collapse disorder. (you do not need to choose the same cause as you completed your in class group research)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Your final product should include a description of CCD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Outline the effect your chosen cause has on bees and the ecosystem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Incude possible solutions to this caus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Product Choice</w:t>
      </w:r>
    </w:p>
    <w:p w:rsidR="00000000" w:rsidDel="00000000" w:rsidP="00000000" w:rsidRDefault="00000000" w:rsidRPr="00000000">
      <w:pPr>
        <w:contextualSpacing w:val="0"/>
      </w:pPr>
      <w:r w:rsidDel="00000000" w:rsidR="00000000" w:rsidRPr="00000000">
        <w:rPr>
          <w:rtl w:val="0"/>
        </w:rPr>
        <w:t xml:space="preserve">You will create an action on any issue related to colony collapse disorder. This could take the form of: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Infographic (Use piktochart website online)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Public service announcement (voice, video or written)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Letter to member of parliament, scientific community or industry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Petition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Public awareness poster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Cartoon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Editorial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Newsletter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